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120B2C" w:rsidRDefault="000515F9" w:rsidP="00A35C09">
      <w:pPr>
        <w:rPr>
          <w:sz w:val="28"/>
          <w:szCs w:val="28"/>
        </w:rPr>
      </w:pPr>
      <w:r w:rsidRPr="005640C1">
        <w:rPr>
          <w:sz w:val="28"/>
          <w:szCs w:val="28"/>
          <w:u w:val="single"/>
        </w:rPr>
        <w:t>2</w:t>
      </w:r>
      <w:r w:rsidR="0050580A">
        <w:rPr>
          <w:sz w:val="28"/>
          <w:szCs w:val="28"/>
          <w:u w:val="single"/>
        </w:rPr>
        <w:t>9</w:t>
      </w:r>
      <w:r w:rsidRPr="005640C1">
        <w:rPr>
          <w:sz w:val="28"/>
          <w:szCs w:val="28"/>
          <w:u w:val="single"/>
        </w:rPr>
        <w:t>.</w:t>
      </w:r>
      <w:r w:rsidR="00347843" w:rsidRPr="005640C1">
        <w:rPr>
          <w:sz w:val="28"/>
          <w:szCs w:val="28"/>
          <w:u w:val="single"/>
        </w:rPr>
        <w:t>04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7056C">
        <w:rPr>
          <w:sz w:val="28"/>
          <w:szCs w:val="28"/>
          <w:u w:val="single"/>
        </w:rPr>
        <w:t>5</w:t>
      </w:r>
      <w:r w:rsidR="00120B2C" w:rsidRPr="00120B2C"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Об утверждении Плана мероприятий по росту доходов, оптимизации расходов и совершенствованию долговой политики бюджета</w:t>
      </w:r>
    </w:p>
    <w:p w:rsid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Сеченовского муниципального округа на 2026 – 2028 годы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 xml:space="preserve">В целях принятия мер по обеспечению сбалансированности бюджета Сеченовского муниципального округа на 2026 - 2028 годы Администрация Сеченовского муниципального округа  </w:t>
      </w:r>
      <w:r w:rsidRPr="00120B2C">
        <w:rPr>
          <w:b/>
          <w:sz w:val="28"/>
          <w:szCs w:val="28"/>
        </w:rPr>
        <w:t>п о с т а н о в л я е т</w:t>
      </w:r>
      <w:r w:rsidRPr="00120B2C">
        <w:rPr>
          <w:sz w:val="28"/>
          <w:szCs w:val="28"/>
        </w:rPr>
        <w:t>: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1. Утвердить прилагаемый План мероприятий по росту доходов, оптимизации расходов и совершенствованию долговой политики бюджета Сеченовского муниципального округа на 2026 - 2028 годы (далее – План).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2. Ответственным за выполнение Плана обеспечить выполнение мероприятий в указанные сроки и направлять в финансовое управление Администрации Сеченовского муниципального округа отчет о выполнении Плана по итогам 1 полугодия в срок не позднее 10 августа, по итогам отчетного года – не позднее 10 февраля.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3. Финансовому управлению Администрации Сеченовского муниципального округа формировать сводный отчет о выполнении Плана по итогам 1 полугодия не позднее 20 августа, по итогам отчетного года – не позднее 20 февраля, и направлять его главе местного самоуправления Сеченовского муниципального округа.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2455E2" w:rsidRDefault="002455E2" w:rsidP="00D87EB9">
      <w:pPr>
        <w:rPr>
          <w:sz w:val="28"/>
          <w:szCs w:val="28"/>
          <w:u w:val="single"/>
        </w:rPr>
      </w:pPr>
    </w:p>
    <w:p w:rsidR="00017C77" w:rsidRDefault="00017C77" w:rsidP="00D87EB9">
      <w:pPr>
        <w:rPr>
          <w:sz w:val="28"/>
          <w:szCs w:val="28"/>
          <w:u w:val="single"/>
        </w:rPr>
      </w:pPr>
    </w:p>
    <w:p w:rsidR="00017C77" w:rsidRPr="00017C77" w:rsidRDefault="00017C77" w:rsidP="00D87EB9">
      <w:pPr>
        <w:rPr>
          <w:sz w:val="28"/>
          <w:szCs w:val="28"/>
          <w:u w:val="single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  <w:sectPr w:rsidR="00120B2C" w:rsidSect="00120B2C">
          <w:pgSz w:w="12240" w:h="15840"/>
          <w:pgMar w:top="1560" w:right="851" w:bottom="1418" w:left="1701" w:header="709" w:footer="709" w:gutter="0"/>
          <w:cols w:space="709"/>
          <w:noEndnote/>
          <w:titlePg/>
          <w:docGrid w:linePitch="326"/>
        </w:sect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proofErr w:type="spellStart"/>
      <w:r w:rsidR="00703310" w:rsidRPr="002E0781">
        <w:rPr>
          <w:sz w:val="28"/>
          <w:szCs w:val="28"/>
        </w:rPr>
        <w:t>Е.Г.Наборнов</w:t>
      </w:r>
      <w:proofErr w:type="spellEnd"/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left="10620"/>
        <w:jc w:val="right"/>
        <w:rPr>
          <w:b/>
        </w:rPr>
      </w:pPr>
      <w:bookmarkStart w:id="0" w:name="_GoBack"/>
      <w:r w:rsidRPr="00120B2C">
        <w:rPr>
          <w:b/>
        </w:rPr>
        <w:lastRenderedPageBreak/>
        <w:t>УТВЕРЖДЕН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right"/>
      </w:pPr>
      <w:r w:rsidRPr="00120B2C">
        <w:t>постановлением Администрации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right"/>
      </w:pPr>
      <w:r w:rsidRPr="00120B2C">
        <w:t>Сеченовского муниципального округа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right"/>
        <w:rPr>
          <w:u w:val="single"/>
        </w:rPr>
      </w:pPr>
      <w:r>
        <w:t>От 29.04.2026г. № 258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right"/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left="10620" w:firstLine="708"/>
        <w:jc w:val="center"/>
        <w:rPr>
          <w:u w:val="single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План мероприятий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по росту доходов, оптимизации расходов и совершенствованию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долговой политики бюджета Сеченовского муниципального округа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на 2026 - 2028 годы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3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3998"/>
        <w:gridCol w:w="1881"/>
        <w:gridCol w:w="2371"/>
        <w:gridCol w:w="3685"/>
        <w:gridCol w:w="1419"/>
        <w:gridCol w:w="9"/>
      </w:tblGrid>
      <w:tr w:rsidR="00120B2C" w:rsidRPr="00120B2C" w:rsidTr="00120B2C">
        <w:trPr>
          <w:gridAfter w:val="1"/>
          <w:wAfter w:w="9" w:type="dxa"/>
          <w:tblHeader/>
        </w:trPr>
        <w:tc>
          <w:tcPr>
            <w:tcW w:w="568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№ п/п</w:t>
            </w:r>
          </w:p>
        </w:tc>
        <w:tc>
          <w:tcPr>
            <w:tcW w:w="3998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Наименование мероприятия</w:t>
            </w:r>
          </w:p>
        </w:tc>
        <w:tc>
          <w:tcPr>
            <w:tcW w:w="1881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Срок проведения</w:t>
            </w:r>
          </w:p>
        </w:tc>
        <w:tc>
          <w:tcPr>
            <w:tcW w:w="2371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Ответственные за проведение</w:t>
            </w:r>
          </w:p>
        </w:tc>
        <w:tc>
          <w:tcPr>
            <w:tcW w:w="3685" w:type="dxa"/>
            <w:vAlign w:val="center"/>
          </w:tcPr>
          <w:p w:rsidR="00120B2C" w:rsidRPr="00120B2C" w:rsidRDefault="00120B2C" w:rsidP="00120B2C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jc w:val="center"/>
            </w:pPr>
            <w:r w:rsidRPr="00120B2C">
              <w:t>Целевой показатель</w:t>
            </w:r>
          </w:p>
        </w:tc>
        <w:tc>
          <w:tcPr>
            <w:tcW w:w="1419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Значение целевого показателя</w:t>
            </w:r>
          </w:p>
        </w:tc>
      </w:tr>
      <w:tr w:rsidR="00120B2C" w:rsidRPr="00120B2C" w:rsidTr="00120B2C">
        <w:trPr>
          <w:gridAfter w:val="1"/>
          <w:wAfter w:w="9" w:type="dxa"/>
          <w:tblHeader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3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6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smartTag w:uri="urn:schemas-microsoft-com:office:smarttags" w:element="place">
              <w:r w:rsidRPr="00120B2C">
                <w:rPr>
                  <w:b/>
                  <w:lang w:val="en-US"/>
                </w:rPr>
                <w:t>I</w:t>
              </w:r>
              <w:r w:rsidRPr="00120B2C">
                <w:rPr>
                  <w:b/>
                </w:rPr>
                <w:t>.</w:t>
              </w:r>
            </w:smartTag>
            <w:r w:rsidRPr="00120B2C">
              <w:rPr>
                <w:b/>
              </w:rPr>
              <w:t xml:space="preserve"> Мероприятия по росту доходов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Активизировать работу, направленную на обеспечение выплаты заработной платы не ниже минимального размера оплаты труда, установленного федеральным законодательством,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социально-экономического развития муниципального округа, недопущение возникновения задолженности по заработной плате, предотвращение выплаты «теневой заработной платы» налоговыми </w:t>
            </w:r>
            <w:r w:rsidRPr="00120B2C">
              <w:lastRenderedPageBreak/>
              <w:t>агентами, занятыми в сфере малого предпринимательства, а также на сохранение рабочих мест хозяйствующими субъектами, находящимися на территории муниципального округа.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Организовать в регулярном режиме 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с целью урегулирования вопросов по уровню заработной платы работников, осуществляющих трудовые функции на основании трудового договора, заключенного с юридическими лицами и индивидуальными предпринимателями муниципального округа, предотвращения фактов выплаты «теневой» заработной платы, а также осуществления работы по снижению неформальной занятости на территории 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" w:right="67"/>
            </w:pPr>
            <w:r w:rsidRPr="00120B2C">
              <w:t xml:space="preserve">Отдел экономики, прогнозирования, инвестиций и инноваций Администрации  Сеченовского муниципального округа,  Финансовое управление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" w:right="67"/>
              <w:jc w:val="both"/>
            </w:pPr>
            <w:r w:rsidRPr="00120B2C">
              <w:t>Выполнение показателя по снижению неформальной занятости, доведенного Министерством социальной политики Нижегородской области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" w:right="67"/>
              <w:jc w:val="center"/>
            </w:pPr>
            <w:r w:rsidRPr="00120B2C"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Осуществлять мониторинг основных </w:t>
            </w:r>
            <w:proofErr w:type="spellStart"/>
            <w:r w:rsidRPr="00120B2C">
              <w:t>бюджетообразующих</w:t>
            </w:r>
            <w:proofErr w:type="spellEnd"/>
            <w:r w:rsidRPr="00120B2C">
              <w:t xml:space="preserve"> показателей, в том числе таких, как фонд оплаты труда и среднемесячная численность работающих в организациях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 xml:space="preserve">Ежеквартально до 30 числа второго месяца, следующего после отчетного </w:t>
            </w:r>
            <w:r w:rsidRPr="00120B2C">
              <w:lastRenderedPageBreak/>
              <w:t>квартала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lastRenderedPageBreak/>
              <w:t xml:space="preserve">Отдел экономики, прогнозирования, инвестиций и инноваций Администрации  </w:t>
            </w:r>
            <w:r w:rsidRPr="00120B2C">
              <w:lastRenderedPageBreak/>
              <w:t xml:space="preserve">Сеченовского муниципального округа 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Принять меры по обеспечению поступления в бюджет муниципального округа администрируемых налоговых и неналоговых доходов в запланированных объемах, получению дополнительных доходов, а также сокращению задолженности по их уплате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Главные администраторы доходов бюджета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Выполнение первоначального плана по налоговым и неналоговым доходам,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Главные администраторы доходов бюджета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Объем невыясненных поступлений на отчетную дату (1 квартал, полугодие, 9 месяцев, год),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5.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Принимать меры по списанию безнадежной к взысканию задолженности по платежам в бюджет муниципального округа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Главные администраторы доходов бюджета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6.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Продолжить деятельность комиссии по укреплению налоговой и бюджетной дисциплины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Погашение организациями и индивидуальными предпринимателями имеющейся задолженности по налоговым платежам в бюджеты всех уровней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7.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Провести работу по выявлению </w:t>
            </w:r>
            <w:r w:rsidRPr="00120B2C">
              <w:lastRenderedPageBreak/>
              <w:t>недобросовестной конкуренции: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1) провести анализ рекламных объявлений по данным МАУ «Сеченовский информационный центр» на предмет регистрации рекламодателя в качестве индивидуального предпринимателя и (или) самозанятого гражданина в налоговом органе;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2) по результатам проведенного анализа направить полученные сведения о лицах, занимающихся предпринимательской деятельностью, но не состоящих на учете в налоговом органе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Ежеквартально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 xml:space="preserve">Ежеквартально начиная со </w:t>
            </w:r>
            <w:r w:rsidRPr="00120B2C">
              <w:rPr>
                <w:lang w:val="en-US"/>
              </w:rPr>
              <w:t>II</w:t>
            </w:r>
            <w:r w:rsidRPr="00120B2C">
              <w:t xml:space="preserve"> квартала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lastRenderedPageBreak/>
              <w:t xml:space="preserve">Отдел экономики, </w:t>
            </w:r>
            <w:r w:rsidRPr="00120B2C">
              <w:lastRenderedPageBreak/>
              <w:t xml:space="preserve">прогнозирования, инвестиций и инноваций Администрации  Сеченовского муниципального округа совместно МАУ «Сеченовский информационный центр» 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(по согласованию)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8.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Рекомендовать при приеме рекламных объявлений об оказании услуг (выполнении работ) запрашивать у рекламодателей учетные данные (ИНН, ОГРН, ОГРНИП)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МАУ «Сеченовский информационный центр» (по согласованию)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9.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Осуществлять взаимодействие с Управлением Федеральной налоговой службы по Нижегородской области и управлением Федеральной службы судебных приставов по Нижегородской области по вопросам собираемости налоговых доходов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Выполнение первоначального плана поступления налоговых доходов в бюджет муниципального округа,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jc w:val="both"/>
            </w:pPr>
            <w:r w:rsidRPr="00120B2C">
              <w:t xml:space="preserve">Не допускать возникновения задолженности по арендным </w:t>
            </w:r>
            <w:r w:rsidRPr="00120B2C">
              <w:lastRenderedPageBreak/>
              <w:t>платежам за землю и по арендной плате за объекты нежилого фонда.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   Организовать работу по проведению своевременной претензионно-исковой работы с неплательщиками.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   Обеспечить снижение минимум на 20 процентов суммы недоимки по арендной плате, сложившейся по состоянию на 1 января отчетного года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</w:t>
            </w:r>
            <w:r w:rsidRPr="00120B2C">
              <w:lastRenderedPageBreak/>
              <w:t>муниципальным имуществом и земельными ресурсами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 xml:space="preserve">Снижение суммы недоимки по арендным платежам за землю и по </w:t>
            </w:r>
            <w:r w:rsidRPr="00120B2C">
              <w:lastRenderedPageBreak/>
              <w:t>арендной плате за объекты нежилого фонда, сложившейся по состоянию на 1 января отчетного года, за исключением недоимки, по которой исполнительные документы направлены для принудительного исполнения в службу судебных приставов, или образовавшейся у должника, в отношении которого открыта процедура банкротства,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rPr>
                <w:lang w:val="en-US"/>
              </w:rPr>
              <w:lastRenderedPageBreak/>
              <w:t>&gt;</w:t>
            </w:r>
            <w:r w:rsidRPr="00120B2C">
              <w:t>20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jc w:val="both"/>
            </w:pPr>
            <w:r w:rsidRPr="00120B2C">
              <w:t>Принимать меры к выявлению земельных участков, где осуществляется бесплатное фактическое землепользование, и к надлежащему оформлению прав на данные участки землепользователями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округа,  Управление сельского хозяйства Администрации Сеченовского муниципального округа,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По результатам инвентаризации и полученным сведениям от муниципальных предприятий и муниципальных учреждений выявить неиспользуемые основные </w:t>
            </w:r>
            <w:r w:rsidRPr="00120B2C">
              <w:lastRenderedPageBreak/>
              <w:t>фонды муниципальных предприятий и муниципальных учреждений и принять меры по изъятию их в казну с целью дальнейшей их продажи или сдачи в аренду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</w:t>
            </w:r>
            <w:r w:rsidRPr="00120B2C">
              <w:lastRenderedPageBreak/>
              <w:t xml:space="preserve">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Ежегодно проводить индексацию арендной платы за земельные участки и объекты нежилого фонда. Обеспечить включение в договоры аренды индексацию арендной платы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Прирост доходов от индексации арендной платы за земельные участки и объекты нежилого фонда по сравнению с предыдущим годом, тыс.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Организовать перечисление в бюджет муниципального округа задатков, поступивших от победителей торгов по продаже муниципального имущества Сеченовского муниципального округа (в том числе земельных участков) и от продажи права на заключение договоров аренды земельных участков и объектов нежилого фонда, в течение 5 рабочих дней с даты, установленной для заключения договора купли-продажи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Доля своевременно перечисленных в бюджет муниципального округа задатков, поступивших от победителей торгов, в общем объеме задатков, поступивших от победителей торгов,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15.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 реализацию прогнозного Плана приватизации муниципального имущества в </w:t>
            </w:r>
            <w:r w:rsidRPr="00120B2C">
              <w:lastRenderedPageBreak/>
              <w:t>полном объеме согласно решению Совета депутатов Сеченовского муниципального округа от 27.12.2022 № 113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соответствии с Планом приватизации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</w:t>
            </w:r>
            <w:r w:rsidRPr="00120B2C">
              <w:lastRenderedPageBreak/>
              <w:t xml:space="preserve">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 xml:space="preserve">Выполнение прогнозного плана приватизации муниципального имущества муниципального </w:t>
            </w:r>
            <w:r w:rsidRPr="00120B2C">
              <w:lastRenderedPageBreak/>
              <w:t>округа, тыс.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16.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Провести инвентаризацию муниципального имущества Сеченовского  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Ежегодно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0B2C">
              <w:t>(</w:t>
            </w:r>
            <w:r w:rsidRPr="00120B2C">
              <w:rPr>
                <w:lang w:val="en-US"/>
              </w:rPr>
              <w:t>IV</w:t>
            </w:r>
            <w:r w:rsidRPr="00120B2C">
              <w:t xml:space="preserve"> квартал)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17.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Выявление бесхозяйного имущества и выморочного имущества, и принятие мер по оформлению прав муниципальной собственности на бесхозяйное и выморочное имущество с целью дальнейшей его реализации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Комитет по управлению муниципальным имуществом  и земельными ресурсами Администрации Сеченовского муниципального округа, Отдел организационной и кадровой работы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18.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 при формировании муниципальных заказов </w:t>
            </w:r>
            <w:r w:rsidRPr="00120B2C">
              <w:lastRenderedPageBreak/>
              <w:t>подведомственными муниципальными учреждениями на капитальное строительство, капитальный ремонт  муниципальных объектов со сроками  исполнения контрактов более 1 месяца, включение в проекты муниципальных контрактов (договоров) условий обязательной постановки на учет подрядчиков, состоящих на учете в налоговых инспекциях других муниципальных образований, по месту создания рабочих мест по исполнению контракта для уплаты НДФЛ в бюджет Сеченовского муниципального округа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 xml:space="preserve">Управление капитального </w:t>
            </w:r>
            <w:r w:rsidRPr="00120B2C">
              <w:rPr>
                <w:color w:val="000000"/>
                <w:spacing w:val="-3"/>
              </w:rPr>
              <w:lastRenderedPageBreak/>
              <w:t>строительства, ЖКХ, жилищной политики и жилищного фонда Администрации Сеченовского муниципального округа, 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120B2C">
              <w:lastRenderedPageBreak/>
              <w:t xml:space="preserve">Доля подрядчиков, состоящих на учете в налоговых инспекциях </w:t>
            </w:r>
            <w:r w:rsidRPr="00120B2C">
              <w:lastRenderedPageBreak/>
              <w:t>других муниципальных образований, с которыми заключены контракты на капитальное строительство и капитальный ремонт муниципальных объектов со сроками исполнения более 1 месяца, зарегистрированных по месту создания рабочих мест по исполнению контракта, в общем количестве таких подрядчиков,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lastRenderedPageBreak/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19.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1) Обеспечить составление протоколов по выявленным административным правонарушениям и направление их в органы, уполномоченные рассматривать дела об административных правонарушениях;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2) Обеспечить мониторинг принятых решений органами, уполномоченными рассматривать дела об административных правонарушениях, по направленным протоколам и поступлений доходов </w:t>
            </w:r>
            <w:r w:rsidRPr="00120B2C">
              <w:lastRenderedPageBreak/>
              <w:t>от уплаты штрафов лицами, привлеченными к административной ответственности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 xml:space="preserve">Должностные лица Администрации Сеченовского муниципального округа, уполномоченные в соответствии с постановлением Администрации Сеченовского муниципального округа от 27.01.2023 г. № 100 составлять </w:t>
            </w:r>
            <w:r w:rsidRPr="00120B2C">
              <w:lastRenderedPageBreak/>
              <w:t>протоколы об административных правонарушениях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lastRenderedPageBreak/>
              <w:t> Доля уплаченных штрафов лицами, привлеченными к административной ответственности, в общей сумме начисленных штрафов (за исключением сумм штрафов, срок исполнения по которым, истекает в периоде, следующим за отчетным),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20.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Обеспечить, с целью </w:t>
            </w:r>
            <w:r w:rsidRPr="00120B2C">
              <w:rPr>
                <w:shd w:val="clear" w:color="auto" w:fill="FFFFFF"/>
              </w:rPr>
              <w:t xml:space="preserve">привлечения внимания граждан к вопросу своевременной уплаты имущественных налогов, </w:t>
            </w:r>
            <w:r w:rsidRPr="00120B2C">
              <w:t xml:space="preserve">размещение на официальном сайте органа местного самоуправления информационных баннеров, </w:t>
            </w:r>
            <w:r w:rsidRPr="00120B2C">
              <w:rPr>
                <w:shd w:val="clear" w:color="auto" w:fill="FFFFFF"/>
              </w:rPr>
              <w:t>информирующих налогоплательщиков о приближающемся едином сроке уплаты</w:t>
            </w:r>
            <w:r w:rsidRPr="00120B2C">
              <w:t xml:space="preserve"> имущественных налогов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120B2C">
              <w:t>Ежегодно (октябрь, ноябрь, декабрь)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 xml:space="preserve">Управление по работе с органами МСУ и социальным вопросам Администрации Сеченовского муниципального округа 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 предоставление в налоговый орган сведений о выданных «Разрешениях на ввод объекта в эксплуатацию» (а также Постановлениях «О выдаче разрешения на ввод объекта в эксплуатацию» и актов приемки законченного строительством объекта приемочной комиссией по форме КС-14) для привлечения налоговыми органами эксплуатанта - организации к своевременному учету объектов недвижимости в качестве основных средств и формирования облагаемой базы по налогу на имущество организаций для своевременного исчисления и </w:t>
            </w:r>
            <w:r w:rsidRPr="00120B2C">
              <w:lastRenderedPageBreak/>
              <w:t>уплаты налога в бюджет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Ежеквартально (в течение месяца, следующего за истекшим кварталом)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rPr>
                <w:color w:val="000000"/>
                <w:spacing w:val="-3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Доля переданных в налоговый орган сведений о выданных «Разрешениях на ввод объекта в эксплуатацию», в общем объеме выданных разрешений организациям-эксплуатантам объектов недвижимости,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Проводить работу по выявлению несоответствий и отсутствующих адресов в Государственном адресном реестре на основе сопоставления информации из ФИАС с имеющимися адресами объектов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Управление капитального строительства, ЖКХ, жилищной политики и жилищного фонда Администрации Сеченовского муниципального округа, Начальники территориальных отделов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Проведение мероприятий по определению (уточнению) характеристик объектов недвижимого имущества с целью вовлечения их в налоговый оборот, в том числе: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- принятие решений об определении категории земель и (или) вида разрешенного использования земельных участков;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- установление (уточнение) адреса места нахождения объектов недвижимости;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- определение групп видов разрешенного использования земельных участков, установленных методическими указаниями и нормативно-техническими </w:t>
            </w:r>
            <w:r w:rsidRPr="00120B2C">
              <w:lastRenderedPageBreak/>
              <w:t>документами по государственной кадастровой оценке земель, к которым относятся земельные участки.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Обеспечить передачу соответствующих решений/сведений для внесения в ЕГРН в порядке, установленном для информационного взаимодействия с органами, осуществляющими государственный кадастровый учет и ведение ЕГРН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 xml:space="preserve">Управление капитального строительства, ЖКХ, жилищной политики и жилищного фонда Администрации Сеченовского муниципального округа, Комитет по управлению муниципальным и земельными ресурсами, Администрации Сеченовского муниципального округа, Начальники </w:t>
            </w:r>
            <w:r w:rsidRPr="00120B2C">
              <w:lastRenderedPageBreak/>
              <w:t>территориальных отделов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Проводить работу по выявлению  невостребованных земельных участков (долей, паев) из состава земель сельскохозяйственного назначения и по оформлению их в муниципальную собственность.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Управление сельского хозяйства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proofErr w:type="spellStart"/>
            <w:r w:rsidRPr="00120B2C">
              <w:rPr>
                <w:b/>
                <w:bCs/>
                <w:spacing w:val="-2"/>
              </w:rPr>
              <w:t>П.Мероприятия</w:t>
            </w:r>
            <w:proofErr w:type="spellEnd"/>
            <w:r w:rsidRPr="00120B2C">
              <w:rPr>
                <w:b/>
                <w:bCs/>
                <w:spacing w:val="-2"/>
              </w:rPr>
              <w:t xml:space="preserve"> по оптимизации расходов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color w:val="000000"/>
              </w:rPr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firstLine="14"/>
              <w:jc w:val="both"/>
            </w:pPr>
            <w:r w:rsidRPr="00120B2C">
              <w:rPr>
                <w:spacing w:val="-1"/>
              </w:rPr>
              <w:t xml:space="preserve">Осуществление взаимодействия с    областными органами </w:t>
            </w:r>
            <w:r w:rsidRPr="00120B2C">
              <w:t xml:space="preserve">исполнительной     власти по подготовке, направлению и </w:t>
            </w:r>
            <w:r w:rsidRPr="00120B2C">
              <w:rPr>
                <w:spacing w:val="8"/>
              </w:rPr>
              <w:t xml:space="preserve">сопровождению заявок Сеченовского муниципального округа на включение </w:t>
            </w:r>
            <w:r w:rsidRPr="00120B2C">
              <w:rPr>
                <w:spacing w:val="2"/>
              </w:rPr>
              <w:t xml:space="preserve">объектов и мероприятий Сеченовского муниципального округа </w:t>
            </w:r>
            <w:r w:rsidRPr="00120B2C">
              <w:rPr>
                <w:color w:val="000000"/>
              </w:rPr>
              <w:t>в</w:t>
            </w:r>
            <w:r w:rsidRPr="00120B2C">
              <w:rPr>
                <w:spacing w:val="2"/>
              </w:rPr>
              <w:t xml:space="preserve"> федеральные </w:t>
            </w:r>
            <w:r w:rsidRPr="00120B2C">
              <w:rPr>
                <w:spacing w:val="1"/>
              </w:rPr>
              <w:t xml:space="preserve">целевые программы, ФАИП,    государственные программы </w:t>
            </w:r>
            <w:r w:rsidRPr="00120B2C">
              <w:t xml:space="preserve">Российской Федерации, </w:t>
            </w:r>
            <w:r w:rsidRPr="00120B2C">
              <w:lastRenderedPageBreak/>
              <w:t>Нижегородской области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rPr>
                <w:spacing w:val="-3"/>
              </w:rPr>
            </w:pPr>
            <w:r w:rsidRPr="00120B2C">
              <w:t>Доля средств на софинансирование проектов, включенных в модельный бюджет, в общей сумме средств на софинансирование по г</w:t>
            </w:r>
            <w:r w:rsidRPr="00120B2C">
              <w:rPr>
                <w:spacing w:val="-3"/>
              </w:rPr>
              <w:t>лавному распорядителю бюджетных средств,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jc w:val="center"/>
              <w:rPr>
                <w:spacing w:val="-3"/>
              </w:rPr>
            </w:pPr>
            <w:r w:rsidRPr="00120B2C">
              <w:rPr>
                <w:spacing w:val="-3"/>
                <w:lang w:val="en-US"/>
              </w:rPr>
              <w:t>&gt;90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color w:val="000000"/>
              </w:rPr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115" w:firstLine="10"/>
              <w:jc w:val="both"/>
              <w:rPr>
                <w:spacing w:val="-2"/>
              </w:rPr>
            </w:pPr>
            <w:r w:rsidRPr="00120B2C">
              <w:rPr>
                <w:spacing w:val="-2"/>
              </w:rPr>
              <w:t>Обеспечить при формировании лимитов на топливно-энергетические ресурсы на очередной финансовый год достоверность и полноту включения затрат в калькуляцию себестоимости тепловой энергии собственной выработки (ТЭН-2)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 w:right="77"/>
              <w:jc w:val="center"/>
              <w:rPr>
                <w:color w:val="00B050"/>
                <w:spacing w:val="-1"/>
              </w:rPr>
            </w:pPr>
            <w:r w:rsidRPr="00120B2C">
              <w:rPr>
                <w:spacing w:val="-1"/>
              </w:rPr>
              <w:t>Ежегодно до 1 апреля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color w:val="000000"/>
              </w:rPr>
              <w:t>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115" w:firstLine="10"/>
              <w:jc w:val="both"/>
              <w:rPr>
                <w:spacing w:val="-2"/>
              </w:rPr>
            </w:pPr>
            <w:r w:rsidRPr="00120B2C">
              <w:t>При заключении муниципальных контрактов (договоров) о закупке товаров, работ, услуг, в целях максимального взыскания неустойки за ненадлежащее исполнение обязательств по муниципальному контракту (договору), предусматривать в проекте муниципального контракта (договора) осуществление оплаты исполнителю муниципального контракта (договора) суммы, уменьшенной на сумму неустойки (пеней, штрафов).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" w:right="77"/>
              <w:jc w:val="center"/>
              <w:rPr>
                <w:spacing w:val="-1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</w:pPr>
            <w:r w:rsidRPr="00120B2C">
              <w:rPr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Доля муниципальных контрактов (договоров), в которых предусмотрено условие об осуществлении оплаты исполнителю муниципального контракта (договора) суммы, уменьшенной на сумму неустойки (пеней, штрафов), в общем количестве заключенных муниципальных контрактов (договоров)</w:t>
            </w:r>
            <w:r w:rsidRPr="00120B2C">
              <w:rPr>
                <w:spacing w:val="-3"/>
              </w:rPr>
              <w:t>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pacing w:val="-15"/>
              </w:rPr>
            </w:pPr>
            <w:r w:rsidRPr="00120B2C">
              <w:rPr>
                <w:color w:val="000000"/>
                <w:spacing w:val="-15"/>
              </w:rPr>
              <w:t>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both"/>
              <w:rPr>
                <w:spacing w:val="-1"/>
              </w:rPr>
            </w:pPr>
            <w:r w:rsidRPr="00120B2C">
              <w:t xml:space="preserve">Обеспечить в пределах компетенции недопущение роста численности работников и сети учреждений, финансируемых из бюджета муниципального округа, за исключением вновь созданных учреждений и увеличения численности работников </w:t>
            </w:r>
            <w:r w:rsidRPr="00120B2C">
              <w:lastRenderedPageBreak/>
              <w:t>учреждений в связи с осуществлением новых полномочий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hanging="5"/>
              <w:jc w:val="center"/>
              <w:rPr>
                <w:spacing w:val="-2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color w:val="000000"/>
                <w:spacing w:val="-15"/>
              </w:rPr>
            </w:pPr>
            <w:r w:rsidRPr="00120B2C">
              <w:rPr>
                <w:color w:val="000000"/>
                <w:spacing w:val="-15"/>
              </w:rPr>
              <w:t>5.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4" w:hanging="14"/>
              <w:jc w:val="both"/>
            </w:pPr>
            <w:r w:rsidRPr="00120B2C">
              <w:rPr>
                <w:spacing w:val="-2"/>
              </w:rPr>
              <w:t xml:space="preserve">Проведение мониторинга выполнения муниципальных заданий </w:t>
            </w:r>
            <w:r w:rsidRPr="00120B2C">
              <w:t xml:space="preserve">на оказание </w:t>
            </w:r>
            <w:r w:rsidRPr="00120B2C">
              <w:rPr>
                <w:color w:val="000000"/>
              </w:rPr>
              <w:t xml:space="preserve">муниципальных услуг муниципальными учреждениями Сеченовского муниципального округа                                       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" w:right="-70" w:firstLine="5"/>
              <w:jc w:val="center"/>
            </w:pPr>
            <w:r w:rsidRPr="00120B2C">
              <w:rPr>
                <w:spacing w:val="-2"/>
              </w:rPr>
              <w:t>Ежеквартально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77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77"/>
              <w:rPr>
                <w:color w:val="000000"/>
                <w:spacing w:val="-3"/>
              </w:rPr>
            </w:pPr>
            <w:r w:rsidRPr="00120B2C">
              <w:rPr>
                <w:rFonts w:eastAsia="Calibri"/>
              </w:rPr>
              <w:t>Доля муниципальных учреждений муниципального округа, выполнивших муниципальное задание на 100%, в общем количестве муниципальных учреждений муниципального округа, которым установлены муниципальные задания,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6.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both"/>
            </w:pPr>
            <w:r w:rsidRPr="00120B2C">
              <w:rPr>
                <w:color w:val="000000"/>
                <w:spacing w:val="-1"/>
              </w:rPr>
              <w:t xml:space="preserve">Проведение мониторинга потребности в муниципальных услугах </w:t>
            </w:r>
            <w:r w:rsidRPr="00120B2C">
              <w:rPr>
                <w:color w:val="000000"/>
              </w:rPr>
              <w:t xml:space="preserve">с целью формирования с учетом его результатов проектов муниципальных заданий на оказание муниципальных услуг муниципальными учреждениями Сеченовского </w:t>
            </w:r>
            <w:r w:rsidRPr="00120B2C">
              <w:rPr>
                <w:spacing w:val="-2"/>
              </w:rPr>
              <w:t xml:space="preserve">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hanging="5"/>
              <w:jc w:val="center"/>
              <w:rPr>
                <w:color w:val="00B050"/>
              </w:rPr>
            </w:pPr>
            <w:r w:rsidRPr="00120B2C">
              <w:rPr>
                <w:spacing w:val="-2"/>
              </w:rPr>
              <w:t>Ежегодно до 1 </w:t>
            </w:r>
            <w:r w:rsidRPr="00120B2C">
              <w:rPr>
                <w:spacing w:val="-3"/>
              </w:rPr>
              <w:t>августа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Доля муниципальных заданий на оказание муниципальных услуг, сформированных с учетом результатов мониторинга потребности в этих муниципальных услугах, в общем объеме муниципальных заданий,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7.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both"/>
              <w:rPr>
                <w:spacing w:val="-1"/>
              </w:rPr>
            </w:pPr>
            <w:r w:rsidRPr="00120B2C">
              <w:t>Разработка и утверждение в соответствии действующим законодательством порядков (правил) осуществления контроля за выполнением муниципального задания муниципальными учреждениями (внесение изменений в ранее принятые в случае необходимости)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hanging="5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8.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Проведение мероприятий по </w:t>
            </w:r>
            <w:r w:rsidRPr="00120B2C">
              <w:lastRenderedPageBreak/>
              <w:t xml:space="preserve">обеспечению дифференциации оплаты труда основного и прочего персонала. Определение </w:t>
            </w:r>
            <w:r w:rsidRPr="00120B2C">
              <w:rPr>
                <w:spacing w:val="-2"/>
              </w:rPr>
              <w:t xml:space="preserve">целевых соотношений средней заработной платы основного и </w:t>
            </w:r>
            <w:r w:rsidRPr="00120B2C">
              <w:t xml:space="preserve">вспомогательного персонала </w:t>
            </w:r>
            <w:r w:rsidRPr="00120B2C">
              <w:rPr>
                <w:spacing w:val="-1"/>
              </w:rPr>
              <w:t xml:space="preserve">муниципальных учреждений, организаций Сеченовского </w:t>
            </w:r>
            <w:r w:rsidRPr="00120B2C">
              <w:rPr>
                <w:spacing w:val="-2"/>
              </w:rPr>
              <w:t xml:space="preserve">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 xml:space="preserve">Главные </w:t>
            </w:r>
            <w:r w:rsidRPr="00120B2C">
              <w:rPr>
                <w:color w:val="000000"/>
                <w:spacing w:val="-3"/>
              </w:rPr>
              <w:lastRenderedPageBreak/>
              <w:t>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spacing w:after="240"/>
              <w:rPr>
                <w:spacing w:val="-2"/>
              </w:rPr>
            </w:pPr>
            <w:r w:rsidRPr="00120B2C">
              <w:rPr>
                <w:spacing w:val="-2"/>
              </w:rPr>
              <w:lastRenderedPageBreak/>
              <w:t xml:space="preserve">1) Соблюдение установленного </w:t>
            </w:r>
            <w:r w:rsidRPr="00120B2C">
              <w:rPr>
                <w:spacing w:val="-2"/>
              </w:rPr>
              <w:lastRenderedPageBreak/>
              <w:t>нормативными правовыми актами предельного уровня соотношения средней заработной платы основного персонала и средней заработной платы вспомогательного персонала;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120B2C">
              <w:rPr>
                <w:spacing w:val="-2"/>
              </w:rPr>
              <w:t>2) </w:t>
            </w:r>
            <w:r w:rsidRPr="00120B2C">
              <w:t>Принятие нормативных правовых актов, внесение изменений в ранее утвержденные, при необходимости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lastRenderedPageBreak/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9.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jc w:val="both"/>
            </w:pPr>
            <w:r w:rsidRPr="00120B2C">
              <w:rPr>
                <w:rFonts w:eastAsia="Calibri"/>
                <w:lang w:eastAsia="en-US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труда в общем фонде оплаты труда организации не более 40 процентов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spacing w:val="-3"/>
              </w:rPr>
              <w:t>Управление образования, делам молодежи и спорта Администрации Сеченовского муниципального округа, Отдел культуры и туризма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120B2C">
              <w:rPr>
                <w:spacing w:val="7"/>
              </w:rPr>
              <w:t xml:space="preserve">Соблюдение установленной </w:t>
            </w:r>
            <w:r w:rsidRPr="00120B2C">
              <w:rPr>
                <w:spacing w:val="-2"/>
              </w:rPr>
              <w:t>нормативными правовыми актами</w:t>
            </w:r>
            <w:r w:rsidRPr="00120B2C">
              <w:rPr>
                <w:spacing w:val="7"/>
              </w:rPr>
              <w:t xml:space="preserve"> предельной доли расходов на оплату труда административно-управленческого персонала в общем фонде оплаты труда организации,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≤40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spacing w:val="7"/>
              </w:rPr>
              <w:t xml:space="preserve">Разработка и утверждение показателей оценки эффективности </w:t>
            </w:r>
            <w:r w:rsidRPr="00120B2C">
              <w:t xml:space="preserve">деятельности подведомственных учреждений с критериями </w:t>
            </w:r>
            <w:r w:rsidRPr="00120B2C">
              <w:rPr>
                <w:spacing w:val="-2"/>
              </w:rPr>
              <w:t xml:space="preserve">оценки деятельности руководителя муниципального учреждения, организации (внесение изменений в ранее принятые в случае </w:t>
            </w:r>
            <w:r w:rsidRPr="00120B2C">
              <w:rPr>
                <w:spacing w:val="-2"/>
              </w:rPr>
              <w:lastRenderedPageBreak/>
              <w:t>необходимости)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spacing w:val="1"/>
              </w:rPr>
              <w:t xml:space="preserve">Продолжение работы по заключению       трудовых договоров с руководителями </w:t>
            </w:r>
            <w:r w:rsidRPr="00120B2C">
              <w:rPr>
                <w:color w:val="000000"/>
                <w:spacing w:val="-1"/>
              </w:rPr>
              <w:t xml:space="preserve">муниципальных учреждений, организаций Сеченовского </w:t>
            </w:r>
            <w:r w:rsidRPr="00120B2C">
              <w:rPr>
                <w:spacing w:val="-2"/>
              </w:rPr>
              <w:t>муниципального округа</w:t>
            </w:r>
            <w:r w:rsidRPr="00120B2C">
              <w:rPr>
                <w:spacing w:val="2"/>
              </w:rPr>
              <w:t xml:space="preserve">, </w:t>
            </w:r>
            <w:r w:rsidRPr="00120B2C">
              <w:rPr>
                <w:spacing w:val="-1"/>
              </w:rPr>
              <w:t xml:space="preserve">предусматривающих (помимо       обязательных элементов) </w:t>
            </w:r>
            <w:r w:rsidRPr="00120B2C">
              <w:rPr>
                <w:spacing w:val="3"/>
              </w:rPr>
              <w:t xml:space="preserve">показатели    оценки эффективности и   результативности их </w:t>
            </w:r>
            <w:r w:rsidRPr="00120B2C">
              <w:t>деятельности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120B2C">
              <w:t>Проведение мониторинга дебиторской и кредиторской задолженности подведомственных учреждений. Принятие мер по недопущению просроченной кредиторской задолженности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53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Размер просроченной кредиторской задолженности,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</w:pPr>
            <w:r w:rsidRPr="00120B2C">
              <w:rPr>
                <w:color w:val="000000"/>
                <w:spacing w:val="-1"/>
              </w:rPr>
              <w:t xml:space="preserve">Доведение предельных объемов </w:t>
            </w:r>
            <w:r w:rsidRPr="00120B2C">
              <w:rPr>
                <w:color w:val="000000"/>
              </w:rPr>
              <w:t xml:space="preserve">финансирования до главных распорядителей бюджетных средств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spacing w:val="-2"/>
              </w:rPr>
              <w:t>По мере необходимости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20B2C">
              <w:rPr>
                <w:spacing w:val="-2"/>
              </w:rPr>
              <w:t xml:space="preserve">Финансовое управление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3"/>
              </w:rPr>
            </w:pPr>
            <w:r w:rsidRPr="00120B2C">
              <w:rPr>
                <w:b/>
                <w:bCs/>
                <w:spacing w:val="3"/>
              </w:rPr>
              <w:t xml:space="preserve">Ш. Мероприятия по </w:t>
            </w:r>
            <w:r w:rsidRPr="00120B2C">
              <w:rPr>
                <w:b/>
                <w:spacing w:val="3"/>
              </w:rPr>
              <w:t>совершенствованию</w:t>
            </w:r>
            <w:r w:rsidRPr="00120B2C">
              <w:rPr>
                <w:spacing w:val="3"/>
              </w:rPr>
              <w:t xml:space="preserve"> </w:t>
            </w:r>
            <w:r w:rsidRPr="00120B2C">
              <w:rPr>
                <w:b/>
                <w:bCs/>
                <w:spacing w:val="3"/>
              </w:rPr>
              <w:t xml:space="preserve">долговой </w:t>
            </w:r>
            <w:r w:rsidRPr="00120B2C">
              <w:rPr>
                <w:b/>
                <w:spacing w:val="3"/>
              </w:rPr>
              <w:t>политики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rFonts w:eastAsia="Calibri"/>
                <w:sz w:val="22"/>
                <w:szCs w:val="22"/>
                <w:lang w:eastAsia="en-US"/>
              </w:rPr>
              <w:t xml:space="preserve">Обеспечить дефицит бюджета в текущем финансовом году на уровне не выше 5% от суммы утвержденного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</w:t>
            </w:r>
            <w:r w:rsidRPr="00120B2C">
              <w:rPr>
                <w:rFonts w:eastAsia="Calibri"/>
                <w:sz w:val="22"/>
                <w:szCs w:val="22"/>
                <w:lang w:eastAsia="en-US"/>
              </w:rPr>
              <w:lastRenderedPageBreak/>
              <w:t>отчислений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rFonts w:eastAsia="Calibri"/>
                <w:sz w:val="22"/>
                <w:szCs w:val="22"/>
                <w:lang w:eastAsia="en-US"/>
              </w:rPr>
              <w:t>Обеспечить долю общего объема долговых обязательств не более 50 процентов суммы доходов бюджета Сеченовского муниципального округа без учета дополнительных нормативов отчислений от налога на доходы физических лиц и объема безвозмездных поступлений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rPr>
                <w:color w:val="000000"/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Да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jc w:val="center"/>
              <w:rPr>
                <w:b/>
                <w:color w:val="000000"/>
                <w:spacing w:val="-3"/>
              </w:rPr>
            </w:pPr>
            <w:r w:rsidRPr="00120B2C">
              <w:rPr>
                <w:b/>
                <w:color w:val="000000"/>
                <w:spacing w:val="-3"/>
                <w:lang w:val="en-US"/>
              </w:rPr>
              <w:t>IV</w:t>
            </w:r>
            <w:r w:rsidRPr="00120B2C">
              <w:rPr>
                <w:b/>
                <w:color w:val="000000"/>
                <w:spacing w:val="-3"/>
              </w:rPr>
              <w:t>. Мероприятия по осуществлению контрольной деятельности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 xml:space="preserve">Финансовое управление 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>Доля проведенных контрольных мероприятий в общем объеме запланированных контрольных мероприятий,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t>&gt;90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Осуществление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услуг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>Финансовое управление 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Осуществление контроля за соблюдением требований законодательства о контрактной системе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>Финансовое управление 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Доля проведенных контрольных мероприятий в общем объеме запланированных контрольных мероприятий,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t>&gt;90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 xml:space="preserve">Осуществление контроля за деятельностью муниципальных </w:t>
            </w:r>
            <w:r w:rsidRPr="00120B2C">
              <w:lastRenderedPageBreak/>
              <w:t xml:space="preserve">автономных, бюджетных и казенных учреждений Сеченовского 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rPr>
                <w:spacing w:val="-3"/>
              </w:rPr>
              <w:t xml:space="preserve">Главные распорядители </w:t>
            </w:r>
            <w:r w:rsidRPr="00120B2C">
              <w:rPr>
                <w:spacing w:val="-3"/>
              </w:rPr>
              <w:lastRenderedPageBreak/>
              <w:t>бюджетных средств, органы, осуществляющие отдельные функции и полномочия учредителя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lastRenderedPageBreak/>
              <w:t xml:space="preserve">Доля проведенных контрольных мероприятий в общем объеме </w:t>
            </w:r>
            <w:r w:rsidRPr="00120B2C">
              <w:lastRenderedPageBreak/>
              <w:t>запланированных контрольных мероприятий,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lastRenderedPageBreak/>
              <w:t>&gt;90</w:t>
            </w:r>
          </w:p>
        </w:tc>
      </w:tr>
    </w:tbl>
    <w:p w:rsidR="00120B2C" w:rsidRPr="00120B2C" w:rsidRDefault="00120B2C" w:rsidP="00120B2C">
      <w:pPr>
        <w:jc w:val="both"/>
        <w:rPr>
          <w:rFonts w:eastAsia="Calibri"/>
          <w:sz w:val="28"/>
          <w:szCs w:val="28"/>
          <w:lang w:eastAsia="en-US"/>
        </w:rPr>
      </w:pPr>
    </w:p>
    <w:p w:rsidR="00120B2C" w:rsidRPr="00120B2C" w:rsidRDefault="00120B2C" w:rsidP="00120B2C">
      <w:pPr>
        <w:jc w:val="both"/>
        <w:rPr>
          <w:rFonts w:eastAsia="Calibri"/>
          <w:sz w:val="28"/>
          <w:szCs w:val="28"/>
          <w:lang w:eastAsia="en-US"/>
        </w:rPr>
      </w:pPr>
    </w:p>
    <w:p w:rsidR="00120B2C" w:rsidRPr="00120B2C" w:rsidRDefault="00120B2C" w:rsidP="00120B2C">
      <w:pPr>
        <w:jc w:val="both"/>
        <w:rPr>
          <w:rFonts w:eastAsia="Calibri"/>
          <w:sz w:val="28"/>
          <w:szCs w:val="28"/>
          <w:lang w:eastAsia="en-US"/>
        </w:rPr>
      </w:pP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20B2C" w:rsidRDefault="00120B2C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bookmarkEnd w:id="0"/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017C77" w:rsidSect="00120B2C">
      <w:pgSz w:w="15840" w:h="12240" w:orient="landscape"/>
      <w:pgMar w:top="1701" w:right="1560" w:bottom="851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25F4" w:rsidRDefault="009E25F4" w:rsidP="00B6139B">
      <w:r>
        <w:separator/>
      </w:r>
    </w:p>
  </w:endnote>
  <w:endnote w:type="continuationSeparator" w:id="0">
    <w:p w:rsidR="009E25F4" w:rsidRDefault="009E25F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25F4" w:rsidRDefault="009E25F4" w:rsidP="00B6139B">
      <w:r>
        <w:separator/>
      </w:r>
    </w:p>
  </w:footnote>
  <w:footnote w:type="continuationSeparator" w:id="0">
    <w:p w:rsidR="009E25F4" w:rsidRDefault="009E25F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3A66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87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25F4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Интернет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7C42-747C-43D0-B5C3-CEA6F5F3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Анастасия</cp:lastModifiedBy>
  <cp:revision>2</cp:revision>
  <cp:lastPrinted>2026-04-30T05:30:00Z</cp:lastPrinted>
  <dcterms:created xsi:type="dcterms:W3CDTF">2026-04-30T05:30:00Z</dcterms:created>
  <dcterms:modified xsi:type="dcterms:W3CDTF">2026-04-30T05:30:00Z</dcterms:modified>
</cp:coreProperties>
</file>